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F328C" w14:textId="77777777" w:rsidR="00A71D15" w:rsidRDefault="0031680D">
      <w:pPr>
        <w:jc w:val="center"/>
        <w:rPr>
          <w:b/>
          <w:sz w:val="24"/>
        </w:rPr>
      </w:pPr>
      <w:r>
        <w:rPr>
          <w:b/>
          <w:sz w:val="24"/>
        </w:rPr>
        <w:t>OFA XWG Meeting</w:t>
      </w:r>
    </w:p>
    <w:p w14:paraId="5192F315" w14:textId="04C28977" w:rsidR="00A71D15" w:rsidRDefault="00A432EF">
      <w:pPr>
        <w:jc w:val="center"/>
        <w:rPr>
          <w:b/>
          <w:sz w:val="24"/>
        </w:rPr>
      </w:pPr>
      <w:r>
        <w:rPr>
          <w:b/>
          <w:sz w:val="24"/>
        </w:rPr>
        <w:t>June</w:t>
      </w:r>
      <w:r w:rsidR="00A5281E">
        <w:rPr>
          <w:b/>
          <w:sz w:val="24"/>
        </w:rPr>
        <w:t xml:space="preserve"> </w:t>
      </w:r>
      <w:r w:rsidR="00107523">
        <w:rPr>
          <w:b/>
          <w:sz w:val="24"/>
        </w:rPr>
        <w:t>13</w:t>
      </w:r>
      <w:r w:rsidR="003970B4">
        <w:rPr>
          <w:b/>
          <w:sz w:val="24"/>
        </w:rPr>
        <w:t>, 201</w:t>
      </w:r>
      <w:r w:rsidR="00F649A7">
        <w:rPr>
          <w:b/>
          <w:sz w:val="24"/>
        </w:rPr>
        <w:t>9</w:t>
      </w:r>
    </w:p>
    <w:p w14:paraId="0D845EC0" w14:textId="77777777" w:rsidR="00A71D15" w:rsidRDefault="0031680D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2A33915E" w14:textId="77777777" w:rsidR="00A71D15" w:rsidRDefault="0031680D">
      <w:pPr>
        <w:pStyle w:val="BodyText"/>
        <w:numPr>
          <w:ilvl w:val="0"/>
          <w:numId w:val="2"/>
        </w:numPr>
      </w:pPr>
      <w:r>
        <w:t xml:space="preserve">Roll Call: </w:t>
      </w:r>
    </w:p>
    <w:p w14:paraId="175C7DAC" w14:textId="77777777" w:rsidR="00A71D15" w:rsidRDefault="0031680D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524DDDA4" w14:textId="77777777" w:rsidR="00A71D15" w:rsidRPr="00275BC4" w:rsidRDefault="0031680D">
      <w:pPr>
        <w:ind w:firstLine="360"/>
        <w:rPr>
          <w:b/>
          <w:sz w:val="24"/>
        </w:rPr>
      </w:pPr>
      <w:r w:rsidRPr="00275BC4">
        <w:rPr>
          <w:b/>
          <w:sz w:val="24"/>
        </w:rPr>
        <w:tab/>
        <w:t>At-Large / Harold Cook</w:t>
      </w:r>
    </w:p>
    <w:p w14:paraId="103CB239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Broadcom / Eddie Wai</w:t>
      </w:r>
    </w:p>
    <w:p w14:paraId="038DFFCA" w14:textId="77777777" w:rsidR="00A71D15" w:rsidRPr="00275BC4" w:rsidRDefault="0031680D">
      <w:pPr>
        <w:ind w:firstLine="720"/>
        <w:rPr>
          <w:b/>
          <w:sz w:val="24"/>
        </w:rPr>
      </w:pPr>
      <w:r w:rsidRPr="00275BC4">
        <w:rPr>
          <w:b/>
          <w:sz w:val="24"/>
        </w:rPr>
        <w:t xml:space="preserve">Cray/Paul Grun </w:t>
      </w:r>
    </w:p>
    <w:p w14:paraId="799A9C01" w14:textId="77777777" w:rsidR="00A71D15" w:rsidRPr="00275BC4" w:rsidRDefault="0031680D">
      <w:pPr>
        <w:ind w:firstLine="720"/>
        <w:rPr>
          <w:b/>
          <w:sz w:val="24"/>
        </w:rPr>
      </w:pPr>
      <w:r w:rsidRPr="00275BC4">
        <w:rPr>
          <w:b/>
          <w:sz w:val="24"/>
        </w:rPr>
        <w:t>HPE / John Byrne</w:t>
      </w:r>
    </w:p>
    <w:p w14:paraId="3B5FD856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Huawei / Daqi Ren</w:t>
      </w:r>
    </w:p>
    <w:p w14:paraId="66FB2C63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IBM / Bernard Metzler</w:t>
      </w:r>
    </w:p>
    <w:p w14:paraId="4CE2C74D" w14:textId="77777777" w:rsidR="00A71D15" w:rsidRPr="001B68FF" w:rsidRDefault="0031680D">
      <w:pPr>
        <w:ind w:firstLine="720"/>
        <w:rPr>
          <w:b/>
          <w:sz w:val="24"/>
        </w:rPr>
      </w:pPr>
      <w:r w:rsidRPr="001B68FF">
        <w:rPr>
          <w:b/>
          <w:sz w:val="24"/>
        </w:rPr>
        <w:t>Intel / Divya Kolar</w:t>
      </w:r>
    </w:p>
    <w:p w14:paraId="3304C00C" w14:textId="77777777" w:rsidR="00A71D15" w:rsidRDefault="0031680D" w:rsidP="00F80FA4">
      <w:pPr>
        <w:ind w:firstLine="720"/>
        <w:rPr>
          <w:sz w:val="24"/>
        </w:rPr>
      </w:pPr>
      <w:r>
        <w:rPr>
          <w:sz w:val="24"/>
        </w:rPr>
        <w:t xml:space="preserve">Jump Trading / Christoph Lameter </w:t>
      </w:r>
    </w:p>
    <w:p w14:paraId="5848557D" w14:textId="77777777" w:rsidR="00A71D15" w:rsidRPr="0026190B" w:rsidRDefault="0031680D">
      <w:pPr>
        <w:ind w:firstLine="720"/>
        <w:rPr>
          <w:b/>
          <w:sz w:val="24"/>
        </w:rPr>
      </w:pPr>
      <w:r w:rsidRPr="0026190B">
        <w:rPr>
          <w:b/>
          <w:sz w:val="24"/>
        </w:rPr>
        <w:t xml:space="preserve">LLNL / Matt Leininger </w:t>
      </w:r>
    </w:p>
    <w:p w14:paraId="6A048109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Mellanox / Gilad Shainer</w:t>
      </w:r>
    </w:p>
    <w:p w14:paraId="49D7344C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 xml:space="preserve">NetApp / David Dale </w:t>
      </w:r>
    </w:p>
    <w:p w14:paraId="5FFE3561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 xml:space="preserve">Oak Ridge / Scott Atchley </w:t>
      </w:r>
    </w:p>
    <w:p w14:paraId="3652A80D" w14:textId="77777777" w:rsidR="00A71D15" w:rsidRPr="00BC40E2" w:rsidRDefault="0031680D">
      <w:pPr>
        <w:ind w:firstLine="720"/>
        <w:rPr>
          <w:b/>
          <w:sz w:val="24"/>
        </w:rPr>
      </w:pPr>
      <w:r w:rsidRPr="00BC40E2">
        <w:rPr>
          <w:b/>
          <w:sz w:val="24"/>
        </w:rPr>
        <w:t>Red Hat / Doug Ledford</w:t>
      </w:r>
    </w:p>
    <w:p w14:paraId="1C05BE16" w14:textId="77777777" w:rsidR="00A71D15" w:rsidRDefault="0031680D">
      <w:pPr>
        <w:ind w:firstLine="720"/>
        <w:rPr>
          <w:b/>
          <w:sz w:val="24"/>
        </w:rPr>
      </w:pPr>
      <w:r w:rsidRPr="00BC40E2">
        <w:rPr>
          <w:b/>
          <w:sz w:val="24"/>
        </w:rPr>
        <w:t>Sandia / Mike Aguilar</w:t>
      </w:r>
    </w:p>
    <w:p w14:paraId="3AC1E8BD" w14:textId="74588FE2" w:rsidR="00275BC4" w:rsidRDefault="00275BC4" w:rsidP="00275BC4">
      <w:pPr>
        <w:rPr>
          <w:sz w:val="24"/>
        </w:rPr>
      </w:pPr>
      <w:r w:rsidRPr="00275BC4">
        <w:rPr>
          <w:sz w:val="24"/>
        </w:rPr>
        <w:t>Others:</w:t>
      </w:r>
    </w:p>
    <w:p w14:paraId="0885BF54" w14:textId="0E09C0DA" w:rsidR="00446810" w:rsidRPr="00446810" w:rsidRDefault="00446810" w:rsidP="00275BC4">
      <w:pPr>
        <w:rPr>
          <w:b/>
          <w:sz w:val="24"/>
        </w:rPr>
      </w:pPr>
      <w:r>
        <w:rPr>
          <w:sz w:val="24"/>
        </w:rPr>
        <w:tab/>
      </w:r>
      <w:r w:rsidRPr="00446810">
        <w:rPr>
          <w:b/>
          <w:sz w:val="24"/>
        </w:rPr>
        <w:t>OFA/Jim Ryan</w:t>
      </w:r>
    </w:p>
    <w:p w14:paraId="3C0A5B2D" w14:textId="0494B655" w:rsidR="00275BC4" w:rsidRPr="00BC40E2" w:rsidRDefault="00275BC4" w:rsidP="00275BC4">
      <w:pPr>
        <w:rPr>
          <w:b/>
          <w:sz w:val="24"/>
        </w:rPr>
      </w:pPr>
      <w:r>
        <w:rPr>
          <w:b/>
          <w:sz w:val="24"/>
        </w:rPr>
        <w:tab/>
        <w:t>Intel/Bob Woodruff</w:t>
      </w:r>
    </w:p>
    <w:p w14:paraId="20A70354" w14:textId="77777777" w:rsidR="00893460" w:rsidRDefault="00893460">
      <w:pPr>
        <w:ind w:firstLine="720"/>
        <w:rPr>
          <w:sz w:val="24"/>
        </w:rPr>
      </w:pPr>
    </w:p>
    <w:p w14:paraId="56D7774F" w14:textId="7BAF621C" w:rsidR="00F2610E" w:rsidRDefault="00F2610E" w:rsidP="00F2610E">
      <w:pPr>
        <w:pStyle w:val="BodyText"/>
        <w:numPr>
          <w:ilvl w:val="0"/>
          <w:numId w:val="2"/>
        </w:numPr>
      </w:pPr>
      <w:bookmarkStart w:id="0" w:name="_Hlk531206175"/>
      <w:r>
        <w:t>Opens, Agenda Bashing</w:t>
      </w:r>
    </w:p>
    <w:p w14:paraId="1253BD9E" w14:textId="65EDDC5C" w:rsidR="00CA1C98" w:rsidRDefault="00CA1C98" w:rsidP="00CA1C98">
      <w:pPr>
        <w:pStyle w:val="BodyText"/>
        <w:numPr>
          <w:ilvl w:val="1"/>
          <w:numId w:val="2"/>
        </w:numPr>
      </w:pPr>
      <w:r>
        <w:t>Next Board meeting (6/20/19)</w:t>
      </w:r>
    </w:p>
    <w:p w14:paraId="32992361" w14:textId="73B8C01F" w:rsidR="00CA1C98" w:rsidRDefault="00CA1C98" w:rsidP="00CA1C98">
      <w:pPr>
        <w:pStyle w:val="BodyText"/>
        <w:numPr>
          <w:ilvl w:val="2"/>
          <w:numId w:val="2"/>
        </w:numPr>
      </w:pPr>
      <w:r>
        <w:t>OFA’s stance w.r.t. EAR and the Entity List. A voteable motion will be presented.</w:t>
      </w:r>
    </w:p>
    <w:p w14:paraId="57154B22" w14:textId="7F7744B1" w:rsidR="00CA1C98" w:rsidRDefault="00CA1C98" w:rsidP="00CA1C98">
      <w:pPr>
        <w:pStyle w:val="BodyText"/>
        <w:numPr>
          <w:ilvl w:val="2"/>
          <w:numId w:val="2"/>
        </w:numPr>
      </w:pPr>
      <w:r>
        <w:t>Officer elections</w:t>
      </w:r>
    </w:p>
    <w:p w14:paraId="78ED5BFB" w14:textId="022ED4A5" w:rsidR="00A432EF" w:rsidRDefault="00EF099A" w:rsidP="00107523">
      <w:pPr>
        <w:pStyle w:val="BodyText"/>
        <w:numPr>
          <w:ilvl w:val="0"/>
          <w:numId w:val="2"/>
        </w:numPr>
      </w:pPr>
      <w:r>
        <w:t xml:space="preserve">Approve minutes from </w:t>
      </w:r>
      <w:r w:rsidR="00107523">
        <w:t>06</w:t>
      </w:r>
      <w:r>
        <w:t>/</w:t>
      </w:r>
      <w:r w:rsidR="00107523">
        <w:t>06</w:t>
      </w:r>
      <w:r>
        <w:t>/19</w:t>
      </w:r>
    </w:p>
    <w:p w14:paraId="42378029" w14:textId="77777777" w:rsidR="00893460" w:rsidRDefault="00893460" w:rsidP="00893460">
      <w:pPr>
        <w:pStyle w:val="BodyText"/>
      </w:pPr>
    </w:p>
    <w:p w14:paraId="1A64E4EA" w14:textId="4A4B8C85" w:rsidR="00893460" w:rsidRDefault="005F5516" w:rsidP="00893460">
      <w:pPr>
        <w:pStyle w:val="BodyText"/>
        <w:numPr>
          <w:ilvl w:val="0"/>
          <w:numId w:val="3"/>
        </w:numPr>
      </w:pPr>
      <w:r w:rsidRPr="009575DA">
        <w:t>A motion</w:t>
      </w:r>
      <w:r>
        <w:t xml:space="preserve"> to approved the minutes from </w:t>
      </w:r>
      <w:r w:rsidR="00BA1115">
        <w:t>6 June</w:t>
      </w:r>
      <w:r>
        <w:t xml:space="preserve"> was made by Doug Ledford (Red Hat).  A second to the motion was made by John Byrne (HPE).</w:t>
      </w:r>
    </w:p>
    <w:p w14:paraId="2BAEA992" w14:textId="77777777" w:rsidR="00893460" w:rsidRDefault="00893460" w:rsidP="00893460">
      <w:pPr>
        <w:pStyle w:val="BodyText"/>
      </w:pPr>
    </w:p>
    <w:p w14:paraId="344248F5" w14:textId="64C8287B" w:rsidR="0050321A" w:rsidRDefault="00107523" w:rsidP="00EC6D96">
      <w:pPr>
        <w:pStyle w:val="BodyText"/>
        <w:numPr>
          <w:ilvl w:val="0"/>
          <w:numId w:val="2"/>
        </w:numPr>
      </w:pPr>
      <w:r>
        <w:t xml:space="preserve">Interop Program Funding, </w:t>
      </w:r>
      <w:r w:rsidR="00A432EF">
        <w:t>Membership levels</w:t>
      </w:r>
      <w:r w:rsidR="00750B8D">
        <w:t xml:space="preserve"> </w:t>
      </w:r>
    </w:p>
    <w:p w14:paraId="6AAAC1BB" w14:textId="77777777" w:rsidR="0026110A" w:rsidRDefault="0026110A" w:rsidP="0026110A">
      <w:pPr>
        <w:pStyle w:val="BodyText"/>
      </w:pPr>
    </w:p>
    <w:p w14:paraId="2AC78D12" w14:textId="01E38F09" w:rsidR="00FE6932" w:rsidRDefault="00E0758F" w:rsidP="00FE6932">
      <w:pPr>
        <w:pStyle w:val="BodyText"/>
        <w:numPr>
          <w:ilvl w:val="0"/>
          <w:numId w:val="5"/>
        </w:numPr>
      </w:pPr>
      <w:r w:rsidRPr="004C44DA">
        <w:t xml:space="preserve">OFA committed to a </w:t>
      </w:r>
      <w:r w:rsidRPr="004C44DA">
        <w:t>breakeven budget in FY ‘20</w:t>
      </w:r>
    </w:p>
    <w:p w14:paraId="34273E98" w14:textId="77777777" w:rsidR="00FE6932" w:rsidRPr="004C44DA" w:rsidRDefault="00FE6932" w:rsidP="00FE6932">
      <w:pPr>
        <w:pStyle w:val="BodyText"/>
        <w:numPr>
          <w:ilvl w:val="1"/>
          <w:numId w:val="5"/>
        </w:numPr>
      </w:pPr>
      <w:r w:rsidRPr="004C44DA">
        <w:t>Lower cost alternative to UNH-IOL (currently $180k)</w:t>
      </w:r>
    </w:p>
    <w:p w14:paraId="60991DB1" w14:textId="77777777" w:rsidR="00FE6932" w:rsidRPr="004C44DA" w:rsidRDefault="00FE6932" w:rsidP="00FE6932">
      <w:pPr>
        <w:pStyle w:val="BodyText"/>
        <w:numPr>
          <w:ilvl w:val="2"/>
          <w:numId w:val="5"/>
        </w:numPr>
      </w:pPr>
      <w:r w:rsidRPr="004C44DA">
        <w:t>Investigate alternate vendors, e.g. NMC</w:t>
      </w:r>
    </w:p>
    <w:p w14:paraId="11F30C30" w14:textId="3E252597" w:rsidR="00FE6932" w:rsidRDefault="00FE6932" w:rsidP="00FE6932">
      <w:pPr>
        <w:pStyle w:val="BodyText"/>
        <w:numPr>
          <w:ilvl w:val="1"/>
          <w:numId w:val="5"/>
        </w:numPr>
      </w:pPr>
      <w:r w:rsidRPr="004C44DA">
        <w:t>Expect to lose two current Promoters due to acquisitions</w:t>
      </w:r>
      <w:r>
        <w:t xml:space="preserve"> while assuming</w:t>
      </w:r>
      <w:r w:rsidRPr="004C44DA">
        <w:t xml:space="preserve"> no further attrition</w:t>
      </w:r>
      <w:r>
        <w:t xml:space="preserve">.  Further, we would assume that we can </w:t>
      </w:r>
      <w:r w:rsidRPr="004C44DA">
        <w:t>gain 5 new members at the Quality Program level</w:t>
      </w:r>
    </w:p>
    <w:p w14:paraId="5020644B" w14:textId="77777777" w:rsidR="00FE6932" w:rsidRPr="004C44DA" w:rsidRDefault="00FE6932" w:rsidP="00FE6932">
      <w:pPr>
        <w:pStyle w:val="BodyText"/>
        <w:numPr>
          <w:ilvl w:val="1"/>
          <w:numId w:val="5"/>
        </w:numPr>
      </w:pPr>
      <w:r w:rsidRPr="004C44DA">
        <w:t>Early work suggests we can fund the OFA at breakeven, including the new interop program by:</w:t>
      </w:r>
    </w:p>
    <w:p w14:paraId="05B47C79" w14:textId="77777777" w:rsidR="00FE6932" w:rsidRPr="004C44DA" w:rsidRDefault="00FE6932" w:rsidP="00FE6932">
      <w:pPr>
        <w:pStyle w:val="BodyText"/>
        <w:numPr>
          <w:ilvl w:val="2"/>
          <w:numId w:val="5"/>
        </w:numPr>
      </w:pPr>
      <w:r w:rsidRPr="004C44DA">
        <w:t>Increasing Promoter dues to $15,000</w:t>
      </w:r>
    </w:p>
    <w:p w14:paraId="7817DEA8" w14:textId="77777777" w:rsidR="00FE6932" w:rsidRPr="004C44DA" w:rsidRDefault="00FE6932" w:rsidP="00FE6932">
      <w:pPr>
        <w:pStyle w:val="BodyText"/>
        <w:numPr>
          <w:ilvl w:val="3"/>
          <w:numId w:val="5"/>
        </w:numPr>
      </w:pPr>
      <w:r w:rsidRPr="004C44DA">
        <w:t>Includes access to the testing program in addition to current Promoter privileges</w:t>
      </w:r>
    </w:p>
    <w:p w14:paraId="46C5D5C8" w14:textId="77777777" w:rsidR="00FE6932" w:rsidRPr="004C44DA" w:rsidRDefault="00FE6932" w:rsidP="00FE6932">
      <w:pPr>
        <w:pStyle w:val="BodyText"/>
        <w:numPr>
          <w:ilvl w:val="2"/>
          <w:numId w:val="5"/>
        </w:numPr>
      </w:pPr>
      <w:r w:rsidRPr="004C44DA">
        <w:lastRenderedPageBreak/>
        <w:t>Create a new “Quality Program” membership level</w:t>
      </w:r>
    </w:p>
    <w:p w14:paraId="2EA73226" w14:textId="77777777" w:rsidR="00FE6932" w:rsidRPr="004C44DA" w:rsidRDefault="00FE6932" w:rsidP="00FE6932">
      <w:pPr>
        <w:pStyle w:val="BodyText"/>
        <w:numPr>
          <w:ilvl w:val="3"/>
          <w:numId w:val="5"/>
        </w:numPr>
      </w:pPr>
      <w:r w:rsidRPr="004C44DA">
        <w:t>dues are $10,000</w:t>
      </w:r>
    </w:p>
    <w:p w14:paraId="5F3BA323" w14:textId="77777777" w:rsidR="00FE6932" w:rsidRPr="004C44DA" w:rsidRDefault="00FE6932" w:rsidP="00FE6932">
      <w:pPr>
        <w:pStyle w:val="BodyText"/>
        <w:numPr>
          <w:ilvl w:val="2"/>
          <w:numId w:val="5"/>
        </w:numPr>
      </w:pPr>
      <w:r w:rsidRPr="004C44DA">
        <w:t xml:space="preserve">Merge Adopters and Supporters into one class </w:t>
      </w:r>
    </w:p>
    <w:p w14:paraId="0DEE4C8F" w14:textId="77777777" w:rsidR="00FE6932" w:rsidRPr="004C44DA" w:rsidRDefault="00FE6932" w:rsidP="00FE6932">
      <w:pPr>
        <w:pStyle w:val="BodyText"/>
        <w:numPr>
          <w:ilvl w:val="3"/>
          <w:numId w:val="5"/>
        </w:numPr>
      </w:pPr>
      <w:r w:rsidRPr="004C44DA">
        <w:t>dues are $3,000</w:t>
      </w:r>
    </w:p>
    <w:p w14:paraId="4D0B9358" w14:textId="55A1A998" w:rsidR="00FE6932" w:rsidRPr="004C44DA" w:rsidRDefault="00FE6932" w:rsidP="00FE6932">
      <w:pPr>
        <w:pStyle w:val="BodyText"/>
        <w:numPr>
          <w:ilvl w:val="3"/>
          <w:numId w:val="5"/>
        </w:numPr>
      </w:pPr>
      <w:r w:rsidRPr="004C44DA">
        <w:t>access to testing services on a limited, pay-to-play basis</w:t>
      </w:r>
    </w:p>
    <w:p w14:paraId="22352BD4" w14:textId="77777777" w:rsidR="00000000" w:rsidRPr="004C44DA" w:rsidRDefault="00E0758F" w:rsidP="004C44DA">
      <w:pPr>
        <w:pStyle w:val="BodyText"/>
        <w:numPr>
          <w:ilvl w:val="0"/>
          <w:numId w:val="5"/>
        </w:numPr>
      </w:pPr>
      <w:r w:rsidRPr="004C44DA">
        <w:t>Intertwined in the budget are questions about Interop program funding</w:t>
      </w:r>
    </w:p>
    <w:p w14:paraId="6CDF1B03" w14:textId="77777777" w:rsidR="00000000" w:rsidRPr="004C44DA" w:rsidRDefault="00E0758F" w:rsidP="004C44DA">
      <w:pPr>
        <w:pStyle w:val="BodyText"/>
        <w:numPr>
          <w:ilvl w:val="1"/>
          <w:numId w:val="5"/>
        </w:numPr>
      </w:pPr>
      <w:r w:rsidRPr="004C44DA">
        <w:t>Is it worthwhile?</w:t>
      </w:r>
    </w:p>
    <w:p w14:paraId="461C285E" w14:textId="77777777" w:rsidR="00000000" w:rsidRPr="004C44DA" w:rsidRDefault="00E0758F" w:rsidP="004C44DA">
      <w:pPr>
        <w:pStyle w:val="BodyText"/>
        <w:numPr>
          <w:ilvl w:val="1"/>
          <w:numId w:val="5"/>
        </w:numPr>
      </w:pPr>
      <w:r w:rsidRPr="004C44DA">
        <w:t>If yes, how is it funded?</w:t>
      </w:r>
    </w:p>
    <w:p w14:paraId="414575BD" w14:textId="77777777" w:rsidR="00000000" w:rsidRPr="004C44DA" w:rsidRDefault="00E0758F" w:rsidP="004C44DA">
      <w:pPr>
        <w:pStyle w:val="BodyText"/>
        <w:numPr>
          <w:ilvl w:val="0"/>
          <w:numId w:val="5"/>
        </w:numPr>
      </w:pPr>
      <w:r w:rsidRPr="004C44DA">
        <w:t>This slide deck proposes a funding model that:</w:t>
      </w:r>
    </w:p>
    <w:p w14:paraId="20C2BA77" w14:textId="77777777" w:rsidR="00000000" w:rsidRPr="004C44DA" w:rsidRDefault="00E0758F" w:rsidP="004C44DA">
      <w:pPr>
        <w:pStyle w:val="BodyText"/>
        <w:numPr>
          <w:ilvl w:val="1"/>
          <w:numId w:val="5"/>
        </w:numPr>
      </w:pPr>
      <w:r w:rsidRPr="004C44DA">
        <w:t>Delivers a high value interop program</w:t>
      </w:r>
    </w:p>
    <w:p w14:paraId="697822CC" w14:textId="77777777" w:rsidR="00000000" w:rsidRPr="004C44DA" w:rsidRDefault="00E0758F" w:rsidP="004C44DA">
      <w:pPr>
        <w:pStyle w:val="BodyText"/>
        <w:numPr>
          <w:ilvl w:val="1"/>
          <w:numId w:val="5"/>
        </w:numPr>
      </w:pPr>
      <w:r w:rsidRPr="004C44DA">
        <w:t>Puts us on a sustainable, break even footing</w:t>
      </w:r>
    </w:p>
    <w:p w14:paraId="6723EE5E" w14:textId="77777777" w:rsidR="00000000" w:rsidRPr="004C44DA" w:rsidRDefault="00E0758F" w:rsidP="004C44DA">
      <w:pPr>
        <w:pStyle w:val="BodyText"/>
        <w:numPr>
          <w:ilvl w:val="0"/>
          <w:numId w:val="5"/>
        </w:numPr>
      </w:pPr>
      <w:r w:rsidRPr="004C44DA">
        <w:t>Current program is focused on validating interoperability between various h/w vendors</w:t>
      </w:r>
    </w:p>
    <w:p w14:paraId="687C72CC" w14:textId="77777777" w:rsidR="00000000" w:rsidRPr="004C44DA" w:rsidRDefault="00E0758F" w:rsidP="004C44DA">
      <w:pPr>
        <w:pStyle w:val="BodyText"/>
        <w:numPr>
          <w:ilvl w:val="0"/>
          <w:numId w:val="5"/>
        </w:numPr>
      </w:pPr>
      <w:r w:rsidRPr="004C44DA">
        <w:t>The program was valued by a small (but shrinking) number of subscribers</w:t>
      </w:r>
    </w:p>
    <w:p w14:paraId="094CF679" w14:textId="77777777" w:rsidR="00000000" w:rsidRPr="004C44DA" w:rsidRDefault="00E0758F" w:rsidP="004C44DA">
      <w:pPr>
        <w:pStyle w:val="BodyText"/>
        <w:numPr>
          <w:ilvl w:val="0"/>
          <w:numId w:val="5"/>
        </w:numPr>
      </w:pPr>
      <w:r w:rsidRPr="004C44DA">
        <w:t>It simply doesn’t deliver major value to the industry</w:t>
      </w:r>
    </w:p>
    <w:p w14:paraId="689824D2" w14:textId="77777777" w:rsidR="00000000" w:rsidRPr="004C44DA" w:rsidRDefault="00E0758F" w:rsidP="004C44DA">
      <w:pPr>
        <w:pStyle w:val="BodyText"/>
        <w:numPr>
          <w:ilvl w:val="1"/>
          <w:numId w:val="5"/>
        </w:numPr>
      </w:pPr>
      <w:r w:rsidRPr="004C44DA">
        <w:t>No connection to the open source community,</w:t>
      </w:r>
    </w:p>
    <w:p w14:paraId="2FC97437" w14:textId="77777777" w:rsidR="00000000" w:rsidRPr="004C44DA" w:rsidRDefault="00E0758F" w:rsidP="004C44DA">
      <w:pPr>
        <w:pStyle w:val="BodyText"/>
        <w:numPr>
          <w:ilvl w:val="1"/>
          <w:numId w:val="5"/>
        </w:numPr>
      </w:pPr>
      <w:r w:rsidRPr="004C44DA">
        <w:t xml:space="preserve">Relies on the OFED distribution </w:t>
      </w:r>
    </w:p>
    <w:p w14:paraId="5E7C3958" w14:textId="77777777" w:rsidR="00000000" w:rsidRPr="004C44DA" w:rsidRDefault="00E0758F" w:rsidP="004C44DA">
      <w:pPr>
        <w:pStyle w:val="BodyText"/>
        <w:numPr>
          <w:ilvl w:val="2"/>
          <w:numId w:val="5"/>
        </w:numPr>
      </w:pPr>
      <w:r w:rsidRPr="004C44DA">
        <w:t>versus widely adopted commercial distributions,</w:t>
      </w:r>
    </w:p>
    <w:p w14:paraId="5EB0DD3A" w14:textId="77777777" w:rsidR="00000000" w:rsidRPr="004C44DA" w:rsidRDefault="00E0758F" w:rsidP="004C44DA">
      <w:pPr>
        <w:pStyle w:val="BodyText"/>
        <w:numPr>
          <w:ilvl w:val="1"/>
          <w:numId w:val="5"/>
        </w:numPr>
      </w:pPr>
      <w:r w:rsidRPr="004C44DA">
        <w:t>Industry consolidation has shrunk the subscriber base</w:t>
      </w:r>
    </w:p>
    <w:p w14:paraId="4223E85D" w14:textId="7B4AEA62" w:rsidR="00000000" w:rsidRPr="004C44DA" w:rsidRDefault="00E0758F" w:rsidP="004C44DA">
      <w:pPr>
        <w:pStyle w:val="BodyText"/>
        <w:numPr>
          <w:ilvl w:val="0"/>
          <w:numId w:val="5"/>
        </w:numPr>
      </w:pPr>
      <w:r w:rsidRPr="004C44DA">
        <w:t>This is spring, we cancelled our contract with UNH</w:t>
      </w:r>
      <w:r w:rsidR="00FA16C6">
        <w:t xml:space="preserve">-due to shrinking participation that created </w:t>
      </w:r>
      <w:r w:rsidRPr="004C44DA">
        <w:t>unsustainable costs</w:t>
      </w:r>
      <w:r w:rsidR="002D4356">
        <w:t xml:space="preserve"> for the OFA.</w:t>
      </w:r>
    </w:p>
    <w:p w14:paraId="1D5BE4FD" w14:textId="77777777" w:rsidR="00000000" w:rsidRDefault="00E0758F" w:rsidP="004C44DA">
      <w:pPr>
        <w:pStyle w:val="BodyText"/>
        <w:numPr>
          <w:ilvl w:val="0"/>
          <w:numId w:val="5"/>
        </w:numPr>
      </w:pPr>
      <w:r w:rsidRPr="004C44DA">
        <w:t>Leading up to this year’s workshop, a small project team began</w:t>
      </w:r>
      <w:r w:rsidRPr="004C44DA">
        <w:t xml:space="preserve"> developing an updated interop program</w:t>
      </w:r>
    </w:p>
    <w:p w14:paraId="2A26F17C" w14:textId="77777777" w:rsidR="002D4356" w:rsidRPr="004C44DA" w:rsidRDefault="002D4356" w:rsidP="002D4356">
      <w:pPr>
        <w:pStyle w:val="BodyText"/>
        <w:numPr>
          <w:ilvl w:val="1"/>
          <w:numId w:val="5"/>
        </w:numPr>
      </w:pPr>
      <w:r w:rsidRPr="004C44DA">
        <w:t>A key issue is funding for the proposed updated program</w:t>
      </w:r>
    </w:p>
    <w:p w14:paraId="330AFCB6" w14:textId="77777777" w:rsidR="002D4356" w:rsidRPr="004C44DA" w:rsidRDefault="002D4356" w:rsidP="002D4356">
      <w:pPr>
        <w:pStyle w:val="BodyText"/>
        <w:numPr>
          <w:ilvl w:val="1"/>
          <w:numId w:val="5"/>
        </w:numPr>
      </w:pPr>
      <w:r w:rsidRPr="004C44DA">
        <w:t>Key objective – deliver greater value</w:t>
      </w:r>
    </w:p>
    <w:p w14:paraId="478DA3B7" w14:textId="77777777" w:rsidR="002D4356" w:rsidRPr="004C44DA" w:rsidRDefault="002D4356" w:rsidP="002D4356">
      <w:pPr>
        <w:pStyle w:val="BodyText"/>
        <w:numPr>
          <w:ilvl w:val="2"/>
          <w:numId w:val="5"/>
        </w:numPr>
      </w:pPr>
      <w:r w:rsidRPr="004C44DA">
        <w:t>Industry value: directly support upstream kernel release cycle</w:t>
      </w:r>
    </w:p>
    <w:p w14:paraId="1FCE75E7" w14:textId="77777777" w:rsidR="002D4356" w:rsidRPr="004C44DA" w:rsidRDefault="002D4356" w:rsidP="002D4356">
      <w:pPr>
        <w:pStyle w:val="BodyText"/>
        <w:numPr>
          <w:ilvl w:val="2"/>
          <w:numId w:val="5"/>
        </w:numPr>
      </w:pPr>
      <w:r w:rsidRPr="004C44DA">
        <w:t>Consumer value: based on familiar Linux distributions</w:t>
      </w:r>
    </w:p>
    <w:p w14:paraId="3D1001EF" w14:textId="727CE3E4" w:rsidR="002D4356" w:rsidRPr="004C44DA" w:rsidRDefault="002D4356" w:rsidP="002D4356">
      <w:pPr>
        <w:pStyle w:val="BodyText"/>
        <w:numPr>
          <w:ilvl w:val="2"/>
          <w:numId w:val="5"/>
        </w:numPr>
      </w:pPr>
      <w:r w:rsidRPr="004C44DA">
        <w:t>Vendor and distro value: deliver responsive ‘on-demand’ testing</w:t>
      </w:r>
    </w:p>
    <w:p w14:paraId="123FE5EA" w14:textId="6E70DC3E" w:rsidR="00000000" w:rsidRPr="004C44DA" w:rsidRDefault="00E0758F" w:rsidP="00051572">
      <w:pPr>
        <w:pStyle w:val="BodyText"/>
        <w:numPr>
          <w:ilvl w:val="1"/>
          <w:numId w:val="5"/>
        </w:numPr>
      </w:pPr>
      <w:r w:rsidRPr="004C44DA">
        <w:t>The proposal was tested at this year’s workshop</w:t>
      </w:r>
      <w:r w:rsidR="00051572">
        <w:t xml:space="preserve"> and a </w:t>
      </w:r>
      <w:r w:rsidRPr="004C44DA">
        <w:t>full proposal is coming to the Board soon for its approval</w:t>
      </w:r>
    </w:p>
    <w:p w14:paraId="4D2E0FA5" w14:textId="77777777" w:rsidR="00000000" w:rsidRPr="004C44DA" w:rsidRDefault="00E0758F" w:rsidP="00F36B0E">
      <w:pPr>
        <w:pStyle w:val="BodyText"/>
        <w:numPr>
          <w:ilvl w:val="1"/>
          <w:numId w:val="5"/>
        </w:numPr>
      </w:pPr>
      <w:r w:rsidRPr="004C44DA">
        <w:t>Two major eleme</w:t>
      </w:r>
      <w:r w:rsidRPr="004C44DA">
        <w:t>nts to the program:</w:t>
      </w:r>
      <w:r w:rsidRPr="004C44DA">
        <w:tab/>
      </w:r>
    </w:p>
    <w:p w14:paraId="7B1AF83E" w14:textId="77777777" w:rsidR="00000000" w:rsidRPr="004C44DA" w:rsidRDefault="00E0758F" w:rsidP="00F36B0E">
      <w:pPr>
        <w:pStyle w:val="BodyText"/>
        <w:numPr>
          <w:ilvl w:val="2"/>
          <w:numId w:val="5"/>
        </w:numPr>
      </w:pPr>
      <w:r w:rsidRPr="004C44DA">
        <w:t xml:space="preserve">Pre-release integration testing </w:t>
      </w:r>
    </w:p>
    <w:p w14:paraId="54B2516B" w14:textId="77777777" w:rsidR="00000000" w:rsidRPr="004C44DA" w:rsidRDefault="00E0758F" w:rsidP="00F36B0E">
      <w:pPr>
        <w:pStyle w:val="BodyText"/>
        <w:numPr>
          <w:ilvl w:val="3"/>
          <w:numId w:val="5"/>
        </w:numPr>
      </w:pPr>
      <w:r w:rsidRPr="004C44DA">
        <w:t>driven by kernel release cycles</w:t>
      </w:r>
    </w:p>
    <w:p w14:paraId="57EA491E" w14:textId="77777777" w:rsidR="00000000" w:rsidRPr="004C44DA" w:rsidRDefault="00E0758F" w:rsidP="00F36B0E">
      <w:pPr>
        <w:pStyle w:val="BodyText"/>
        <w:numPr>
          <w:ilvl w:val="2"/>
          <w:numId w:val="5"/>
        </w:numPr>
      </w:pPr>
      <w:r w:rsidRPr="004C44DA">
        <w:t>On-demand testing for distros and h/w vendors</w:t>
      </w:r>
    </w:p>
    <w:p w14:paraId="5203D62B" w14:textId="77777777" w:rsidR="00000000" w:rsidRPr="004C44DA" w:rsidRDefault="00E0758F" w:rsidP="00F36B0E">
      <w:pPr>
        <w:pStyle w:val="BodyText"/>
        <w:numPr>
          <w:ilvl w:val="3"/>
          <w:numId w:val="5"/>
        </w:numPr>
      </w:pPr>
      <w:r w:rsidRPr="004C44DA">
        <w:t>with an option to continue the Logo program if desired</w:t>
      </w:r>
    </w:p>
    <w:p w14:paraId="783C1A64" w14:textId="77777777" w:rsidR="00000000" w:rsidRPr="004C44DA" w:rsidRDefault="00E0758F" w:rsidP="009713AA">
      <w:pPr>
        <w:pStyle w:val="BodyText"/>
        <w:numPr>
          <w:ilvl w:val="1"/>
          <w:numId w:val="5"/>
        </w:numPr>
      </w:pPr>
      <w:r w:rsidRPr="004C44DA">
        <w:t xml:space="preserve">Key issue is funding. </w:t>
      </w:r>
      <w:r w:rsidRPr="004C44DA">
        <w:t>Two scenarios are under inv</w:t>
      </w:r>
      <w:r w:rsidRPr="004C44DA">
        <w:t>estigation</w:t>
      </w:r>
    </w:p>
    <w:p w14:paraId="34CD6850" w14:textId="77777777" w:rsidR="00000000" w:rsidRDefault="00E0758F" w:rsidP="009713AA">
      <w:pPr>
        <w:pStyle w:val="BodyText"/>
        <w:numPr>
          <w:ilvl w:val="2"/>
          <w:numId w:val="5"/>
        </w:numPr>
      </w:pPr>
      <w:r w:rsidRPr="004C44DA">
        <w:rPr>
          <w:b/>
          <w:bCs/>
        </w:rPr>
        <w:t xml:space="preserve">“Shared cost model” </w:t>
      </w:r>
      <w:r w:rsidRPr="004C44DA">
        <w:t>: program fees are built into Alliance membership dues</w:t>
      </w:r>
    </w:p>
    <w:p w14:paraId="5A769C23" w14:textId="77777777" w:rsidR="009713AA" w:rsidRPr="004C44DA" w:rsidRDefault="009713AA" w:rsidP="009713AA">
      <w:pPr>
        <w:pStyle w:val="BodyText"/>
        <w:numPr>
          <w:ilvl w:val="3"/>
          <w:numId w:val="5"/>
        </w:numPr>
      </w:pPr>
      <w:r w:rsidRPr="004C44DA">
        <w:t>argument in favor – the new program delivers significant benefits to the industry as a whole and to Alliance members, even if those members aren’t directly testing hardware.  It is a major service being provided to the industry by the OFA</w:t>
      </w:r>
    </w:p>
    <w:p w14:paraId="1350C23C" w14:textId="77777777" w:rsidR="009713AA" w:rsidRPr="004C44DA" w:rsidRDefault="009713AA" w:rsidP="009713AA">
      <w:pPr>
        <w:pStyle w:val="BodyText"/>
        <w:numPr>
          <w:ilvl w:val="3"/>
          <w:numId w:val="5"/>
        </w:numPr>
      </w:pPr>
      <w:r w:rsidRPr="004C44DA">
        <w:lastRenderedPageBreak/>
        <w:t>argument in favor – delivers on the OFA mission statement and couples us more closely to the Linux open source community</w:t>
      </w:r>
    </w:p>
    <w:p w14:paraId="1C383145" w14:textId="77777777" w:rsidR="009713AA" w:rsidRPr="004C44DA" w:rsidRDefault="009713AA" w:rsidP="009713AA">
      <w:pPr>
        <w:pStyle w:val="BodyText"/>
        <w:numPr>
          <w:ilvl w:val="3"/>
          <w:numId w:val="5"/>
        </w:numPr>
      </w:pPr>
      <w:r w:rsidRPr="004C44DA">
        <w:t>argument against – why should a member who is not a participant in the program support it?</w:t>
      </w:r>
    </w:p>
    <w:p w14:paraId="1C85F78D" w14:textId="77777777" w:rsidR="009713AA" w:rsidRPr="004C44DA" w:rsidRDefault="009713AA" w:rsidP="009713AA">
      <w:pPr>
        <w:pStyle w:val="BodyText"/>
        <w:numPr>
          <w:ilvl w:val="2"/>
          <w:numId w:val="5"/>
        </w:numPr>
      </w:pPr>
    </w:p>
    <w:p w14:paraId="7E124134" w14:textId="3F120721" w:rsidR="00000000" w:rsidRDefault="00E0758F" w:rsidP="00051572">
      <w:pPr>
        <w:pStyle w:val="BodyText"/>
        <w:numPr>
          <w:ilvl w:val="2"/>
          <w:numId w:val="5"/>
        </w:numPr>
      </w:pPr>
      <w:r w:rsidRPr="004C44DA">
        <w:rPr>
          <w:b/>
          <w:bCs/>
        </w:rPr>
        <w:t xml:space="preserve">“Subscription model” </w:t>
      </w:r>
      <w:r w:rsidRPr="004C44DA">
        <w:t>: program is supported solely by its subscribers (today’s model)</w:t>
      </w:r>
    </w:p>
    <w:p w14:paraId="3C92943B" w14:textId="77777777" w:rsidR="00051572" w:rsidRPr="004C44DA" w:rsidRDefault="00051572" w:rsidP="00051572">
      <w:pPr>
        <w:pStyle w:val="BodyText"/>
        <w:numPr>
          <w:ilvl w:val="3"/>
          <w:numId w:val="5"/>
        </w:numPr>
      </w:pPr>
      <w:r w:rsidRPr="004C44DA">
        <w:t>argument in favor – cost should be borne by those who directly benefit</w:t>
      </w:r>
    </w:p>
    <w:p w14:paraId="33D724C9" w14:textId="369F997D" w:rsidR="0026110A" w:rsidRDefault="00051572" w:rsidP="0026110A">
      <w:pPr>
        <w:pStyle w:val="BodyText"/>
        <w:numPr>
          <w:ilvl w:val="3"/>
          <w:numId w:val="5"/>
        </w:numPr>
      </w:pPr>
      <w:r w:rsidRPr="004C44DA">
        <w:t>argument against – this model tends to ‘balkanize’ testing as a separate side activity of the OFA</w:t>
      </w:r>
    </w:p>
    <w:p w14:paraId="5FAB048A" w14:textId="77777777" w:rsidR="0026110A" w:rsidRDefault="0026110A" w:rsidP="0026110A">
      <w:pPr>
        <w:pStyle w:val="BodyText"/>
      </w:pPr>
    </w:p>
    <w:p w14:paraId="587FF114" w14:textId="4C2552D6" w:rsidR="00A960A8" w:rsidRDefault="00107523" w:rsidP="00A432EF">
      <w:pPr>
        <w:pStyle w:val="BodyText"/>
        <w:numPr>
          <w:ilvl w:val="0"/>
          <w:numId w:val="2"/>
        </w:numPr>
      </w:pPr>
      <w:r>
        <w:t>Invitation to join “Consortia Letter to Sec Ross re; Entity List</w:t>
      </w:r>
      <w:r w:rsidR="00F0633D">
        <w:t>”</w:t>
      </w:r>
      <w:r w:rsidR="00420412">
        <w:t>---</w:t>
      </w:r>
      <w:r w:rsidR="00420412" w:rsidRPr="00420412">
        <w:rPr>
          <w:b/>
        </w:rPr>
        <w:t>We are going to decline to sign on to this letter.</w:t>
      </w:r>
    </w:p>
    <w:p w14:paraId="3EDA13F3" w14:textId="77777777" w:rsidR="0026110A" w:rsidRDefault="0026110A" w:rsidP="0026110A">
      <w:pPr>
        <w:pStyle w:val="BodyText"/>
      </w:pPr>
    </w:p>
    <w:p w14:paraId="693045BC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June [__], 2019</w:t>
      </w:r>
    </w:p>
    <w:p w14:paraId="7BF02BF6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The Honorable Wilbur L. Ross</w:t>
      </w:r>
    </w:p>
    <w:p w14:paraId="47D3876F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Secretary of Commerce</w:t>
      </w:r>
    </w:p>
    <w:p w14:paraId="18FF8BF6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U.S. Department of Commerce</w:t>
      </w:r>
    </w:p>
    <w:p w14:paraId="1EA91FA8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1401 Constitution Ave. NW</w:t>
      </w:r>
    </w:p>
    <w:p w14:paraId="593027DA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Washington, DC 20230</w:t>
      </w:r>
    </w:p>
    <w:p w14:paraId="2775BC66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RE: Request for clarification from developers of standards and industry specifications</w:t>
      </w:r>
    </w:p>
    <w:p w14:paraId="6AC9659A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concerning the addition of Huawei and its affiliates to the Entity List</w:t>
      </w:r>
    </w:p>
    <w:p w14:paraId="4B4BA8E6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Dear Secretary Ross:</w:t>
      </w:r>
    </w:p>
    <w:p w14:paraId="309B6562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The undersigned represent a sample of the many hundreds of U.S.-based technology consortia</w:t>
      </w:r>
    </w:p>
    <w:p w14:paraId="548D34AC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that today create the majority of standards and technical specifications that shape global</w:t>
      </w:r>
    </w:p>
    <w:p w14:paraId="482A7CAE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technology ecosystems. The May 16, 2019 order adding Huawei and its affiliates to the Entity</w:t>
      </w:r>
    </w:p>
    <w:p w14:paraId="20FE0305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List has created a serious problem of uncertainty for standards-setting consortia, causing harm</w:t>
      </w:r>
    </w:p>
    <w:p w14:paraId="4BC68832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to the consortia system and the many major U.S. companies that rely on it. We write now to</w:t>
      </w:r>
    </w:p>
    <w:p w14:paraId="1A63B48B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ask that you act to resolve this uncertainty.</w:t>
      </w:r>
    </w:p>
    <w:p w14:paraId="7E11EBD2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The information and communications technology industry (ICT) faces complex needs for</w:t>
      </w:r>
    </w:p>
    <w:p w14:paraId="1090C164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interoperability between third party products and services, from the smallest component level</w:t>
      </w:r>
    </w:p>
    <w:p w14:paraId="1C57D499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up through globe-spanning communications networks. Over the past several decades the ICT</w:t>
      </w:r>
    </w:p>
    <w:p w14:paraId="7083BF0E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industry has developed and honed a model for the formation and operation of private sectorled</w:t>
      </w:r>
    </w:p>
    <w:p w14:paraId="09457540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standards and specification development organizations that has enabled ICT product</w:t>
      </w:r>
    </w:p>
    <w:p w14:paraId="48AFC0C9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interoperability in a diverse array of technology areas. A very significant percentage of activity</w:t>
      </w:r>
    </w:p>
    <w:p w14:paraId="1983C320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takes place in so-called “consortia.” These organizations adopt rules and procedures that are</w:t>
      </w:r>
    </w:p>
    <w:p w14:paraId="6EE16FE0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largely similar to those of entities that have chosen to seek accreditation by the American</w:t>
      </w:r>
    </w:p>
    <w:p w14:paraId="598DC8A1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National Standards Institute (ANSI), but rarely seek such accreditation themselves, in part to</w:t>
      </w:r>
    </w:p>
    <w:p w14:paraId="2F56A3D4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emphasize their status as neutral platforms for international collaboration.</w:t>
      </w:r>
    </w:p>
    <w:p w14:paraId="29D7BF9A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Consortia almost invariably make their standards and technical specifications available for</w:t>
      </w:r>
    </w:p>
    <w:p w14:paraId="54DE4AA4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adoption by anyone, because universal adoption is the goal. Some require adopters to become</w:t>
      </w:r>
    </w:p>
    <w:p w14:paraId="6EE24B4B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members, but then welcome anyone to do so for a reasonable fee relative to the costs of</w:t>
      </w:r>
    </w:p>
    <w:p w14:paraId="7A6F74A7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maintaining standards development. The difficult question for organizations and their</w:t>
      </w:r>
    </w:p>
    <w:p w14:paraId="20DB26FA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participating members as a result of the May 16, 2019 Entity List order has been whether this</w:t>
      </w:r>
    </w:p>
    <w:p w14:paraId="1273057D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level of openness and public output sufficiently meets the criteria set forth in 15 CFR 734.7 (or</w:t>
      </w:r>
    </w:p>
    <w:p w14:paraId="61A63685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other relevant exceptions) such that participants can continue to engage in typical consortia</w:t>
      </w:r>
    </w:p>
    <w:p w14:paraId="4086694D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activities in organizations where Huawei is a member without violating the new Entity List</w:t>
      </w:r>
    </w:p>
    <w:p w14:paraId="7F8298C5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order.</w:t>
      </w:r>
    </w:p>
    <w:p w14:paraId="502BA9B0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Due to the current uncertainty on this question, some consortia have taken the precaution of</w:t>
      </w:r>
    </w:p>
    <w:p w14:paraId="3619A2F9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suspending Huawei and its non-U.S. affiliates from organization membership; others have</w:t>
      </w:r>
    </w:p>
    <w:p w14:paraId="377134CE" w14:textId="49A8A875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restricted the participation of Huawei and its affiliates to non-technical activities. A key</w:t>
      </w:r>
      <w:r w:rsidRPr="00EA1A1D">
        <w:rPr>
          <w:i/>
        </w:rPr>
        <w:t xml:space="preserve"> </w:t>
      </w:r>
      <w:r w:rsidRPr="00EA1A1D">
        <w:rPr>
          <w:i/>
        </w:rPr>
        <w:t>difficulty with this solution is that it ultimately undermines the effectiveness of the consortiabased</w:t>
      </w:r>
    </w:p>
    <w:p w14:paraId="0D03818E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development process, as well as the desirability, in the eyes of the global ICT community,</w:t>
      </w:r>
    </w:p>
    <w:p w14:paraId="5A8DD956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lastRenderedPageBreak/>
        <w:t>of hosting such activities in U.S. based consortia at all. This creates a serious risk that</w:t>
      </w:r>
    </w:p>
    <w:p w14:paraId="0ED78D4A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specifications developed by U.S.-based consortia will fail to achieve the goal of adoption as</w:t>
      </w:r>
    </w:p>
    <w:p w14:paraId="7E540993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formal or de facto international standards, and that future necessary standardization efforts</w:t>
      </w:r>
    </w:p>
    <w:p w14:paraId="7900475B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will be led elsewhere. Further, if companies with large market presence are excluded from U.S.-</w:t>
      </w:r>
    </w:p>
    <w:p w14:paraId="1ABE711C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based standards efforts, a possible result is the launch of competing standards, leading to</w:t>
      </w:r>
    </w:p>
    <w:p w14:paraId="17060D2D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lengthy and destructive “standards wars.”</w:t>
      </w:r>
    </w:p>
    <w:p w14:paraId="5E342E32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Accordingly, we urgently request: please make a clear statement that development of open</w:t>
      </w:r>
    </w:p>
    <w:p w14:paraId="12DD0C82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enrollment, consensus-based standards or technical specifications as conducted by consortia is</w:t>
      </w:r>
    </w:p>
    <w:p w14:paraId="4535909F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exempt from the scope of the Entity List designation.</w:t>
      </w:r>
    </w:p>
    <w:p w14:paraId="32FA02D9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We welcome clarification in whatever form you deem appropriate. For purposes of illustration</w:t>
      </w:r>
    </w:p>
    <w:p w14:paraId="3C4C0591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we have attached (as Attachment A) an example of how the current Temporary General License</w:t>
      </w:r>
    </w:p>
    <w:p w14:paraId="4B7E5122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language focused on standards could be adapted to address our concerns—although we</w:t>
      </w:r>
    </w:p>
    <w:p w14:paraId="47FB6DCD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emphasize that any clarification should be permanent, not temporary. We do not suggest that</w:t>
      </w:r>
    </w:p>
    <w:p w14:paraId="13B03342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this proposed text is the only or best way to address our concerns, however.</w:t>
      </w:r>
    </w:p>
    <w:p w14:paraId="69AB2006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We respectfully request your prompt attention to this matter. We welcome the opportunity to</w:t>
      </w:r>
    </w:p>
    <w:p w14:paraId="64F87718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provide additional information to your staff – please let us know how we can be of assistance.</w:t>
      </w:r>
    </w:p>
    <w:p w14:paraId="2AFDC9A8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Yours truly,</w:t>
      </w:r>
    </w:p>
    <w:p w14:paraId="652E081F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[ORG #1]</w:t>
      </w:r>
    </w:p>
    <w:p w14:paraId="31FA8227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[ORG # __]</w:t>
      </w:r>
    </w:p>
    <w:p w14:paraId="725FD36E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[ORG #2]</w:t>
      </w:r>
    </w:p>
    <w:p w14:paraId="613F04D1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[ . . . ]</w:t>
      </w:r>
    </w:p>
    <w:p w14:paraId="108E02BA" w14:textId="77777777" w:rsidR="00C6234C" w:rsidRPr="00EA1A1D" w:rsidRDefault="00C6234C" w:rsidP="00EA1A1D">
      <w:pPr>
        <w:pStyle w:val="p1"/>
        <w:ind w:left="720"/>
        <w:rPr>
          <w:i/>
        </w:rPr>
      </w:pPr>
    </w:p>
    <w:p w14:paraId="4F3C27BE" w14:textId="330B4C00" w:rsidR="0026110A" w:rsidRPr="00EA1A1D" w:rsidRDefault="00C6234C" w:rsidP="00EA1A1D">
      <w:pPr>
        <w:pStyle w:val="BodyText"/>
        <w:tabs>
          <w:tab w:val="left" w:pos="2340"/>
        </w:tabs>
        <w:ind w:left="1440"/>
        <w:rPr>
          <w:i/>
        </w:rPr>
      </w:pPr>
      <w:r w:rsidRPr="00EA1A1D">
        <w:rPr>
          <w:i/>
        </w:rPr>
        <w:tab/>
      </w:r>
    </w:p>
    <w:p w14:paraId="518F8B49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ATTACHMENT A</w:t>
      </w:r>
    </w:p>
    <w:p w14:paraId="0ADF4936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Engagement as Necessary for Development of technical specifications and 5G Standards by a</w:t>
      </w:r>
    </w:p>
    <w:p w14:paraId="3308605A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Duly Recognized Standards Body: BIS authorizes, subject to other provisions of the EAR,</w:t>
      </w:r>
    </w:p>
    <w:p w14:paraId="63653E53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engagement with Huawei and/or the sixty-eight non-U.S. affiliates as necessary for the</w:t>
      </w:r>
    </w:p>
    <w:p w14:paraId="3E14E9FE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development of 5G standards, technical specifications, and related services (including testing</w:t>
      </w:r>
    </w:p>
    <w:p w14:paraId="43618812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and certification services) in duly recognized international standards bodies and industry</w:t>
      </w:r>
    </w:p>
    <w:p w14:paraId="0FADE95E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consortia (e.g., IEEE – Institute of Electrical and Electronics Engineers; IETF – Internet</w:t>
      </w:r>
    </w:p>
    <w:p w14:paraId="1DDE71EC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Engineering Task Force; ISO – International Organization for Standards; ITU – International</w:t>
      </w:r>
    </w:p>
    <w:p w14:paraId="79C53C1A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Telecommunications Union; ETSI- European Telecommunications Standards Institute; 3GPP -</w:t>
      </w:r>
    </w:p>
    <w:p w14:paraId="1E9FBBB1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3rd Generation Partnership Project; TIA- Telecommunications Industry Association; GSMA,</w:t>
      </w:r>
    </w:p>
    <w:p w14:paraId="70F02DB8" w14:textId="77777777" w:rsidR="00C6234C" w:rsidRPr="00EA1A1D" w:rsidRDefault="00C6234C" w:rsidP="00EA1A1D">
      <w:pPr>
        <w:pStyle w:val="p1"/>
        <w:ind w:left="720"/>
        <w:rPr>
          <w:i/>
        </w:rPr>
      </w:pPr>
      <w:r w:rsidRPr="00EA1A1D">
        <w:rPr>
          <w:i/>
        </w:rPr>
        <w:t>a.k.a., GSM Association, Global System for Mobile Communications).</w:t>
      </w:r>
    </w:p>
    <w:p w14:paraId="51CD9564" w14:textId="77777777" w:rsidR="0026110A" w:rsidRDefault="0026110A" w:rsidP="0026110A">
      <w:pPr>
        <w:pStyle w:val="BodyText"/>
      </w:pPr>
    </w:p>
    <w:p w14:paraId="335C38AB" w14:textId="1EDCA5C3" w:rsidR="00107523" w:rsidRDefault="00107523" w:rsidP="00A432EF">
      <w:pPr>
        <w:pStyle w:val="BodyText"/>
        <w:numPr>
          <w:ilvl w:val="0"/>
          <w:numId w:val="2"/>
        </w:numPr>
      </w:pPr>
      <w:r>
        <w:t>SC19 BoF Opportunities</w:t>
      </w:r>
    </w:p>
    <w:p w14:paraId="77DB700F" w14:textId="261316DA" w:rsidR="00731C9A" w:rsidRDefault="00731C9A" w:rsidP="00731C9A">
      <w:pPr>
        <w:pStyle w:val="BodyText"/>
        <w:numPr>
          <w:ilvl w:val="1"/>
          <w:numId w:val="2"/>
        </w:numPr>
      </w:pPr>
      <w:r>
        <w:t>SC19 BoF</w:t>
      </w:r>
    </w:p>
    <w:p w14:paraId="202CB29F" w14:textId="77777777" w:rsidR="005D46D8" w:rsidRDefault="00924F24" w:rsidP="005D46D8">
      <w:pPr>
        <w:pStyle w:val="BodyText"/>
        <w:numPr>
          <w:ilvl w:val="0"/>
          <w:numId w:val="12"/>
        </w:numPr>
      </w:pPr>
      <w:r>
        <w:t>Architectures and Networks</w:t>
      </w:r>
      <w:r w:rsidR="001D3BF7">
        <w:t xml:space="preserve"> would be the targeted topic area.</w:t>
      </w:r>
    </w:p>
    <w:p w14:paraId="5CD61557" w14:textId="3B66543F" w:rsidR="007B1725" w:rsidRDefault="005D46D8" w:rsidP="005D46D8">
      <w:pPr>
        <w:pStyle w:val="BodyText"/>
        <w:numPr>
          <w:ilvl w:val="0"/>
          <w:numId w:val="12"/>
        </w:numPr>
      </w:pPr>
      <w:r>
        <w:t xml:space="preserve">Target HPC stakeholders like users, administrators, </w:t>
      </w:r>
      <w:r w:rsidR="003A1BD8">
        <w:t>software writers, and HPC archtects</w:t>
      </w:r>
    </w:p>
    <w:p w14:paraId="47DBB0A6" w14:textId="2BE7F5EB" w:rsidR="00D5107E" w:rsidRPr="001D7BDE" w:rsidRDefault="001D7BDE" w:rsidP="001D7BDE">
      <w:pPr>
        <w:pStyle w:val="BodyText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Prepare a BoF s</w:t>
      </w:r>
      <w:r w:rsidR="00924F24" w:rsidRPr="00924F24">
        <w:rPr>
          <w:b/>
          <w:bCs/>
        </w:rPr>
        <w:t>ubmission</w:t>
      </w:r>
      <w:r>
        <w:rPr>
          <w:b/>
          <w:bCs/>
        </w:rPr>
        <w:t xml:space="preserve"> to SC19, </w:t>
      </w:r>
      <w:r>
        <w:rPr>
          <w:rFonts w:ascii="Helvetica" w:hAnsi="Helvetica"/>
          <w:b/>
          <w:bCs/>
          <w:color w:val="000000"/>
          <w:sz w:val="21"/>
          <w:szCs w:val="21"/>
        </w:rPr>
        <w:t>s</w:t>
      </w:r>
      <w:r w:rsidR="00D5107E" w:rsidRPr="001D7BDE">
        <w:rPr>
          <w:rFonts w:ascii="Helvetica" w:hAnsi="Helvetica"/>
          <w:b/>
          <w:bCs/>
          <w:color w:val="000000"/>
          <w:sz w:val="21"/>
          <w:szCs w:val="21"/>
        </w:rPr>
        <w:t>ubmissions c</w:t>
      </w:r>
      <w:r w:rsidR="00D5107E" w:rsidRPr="001D7BDE">
        <w:rPr>
          <w:rFonts w:ascii="Helvetica" w:hAnsi="Helvetica"/>
          <w:b/>
          <w:bCs/>
          <w:color w:val="000000"/>
          <w:sz w:val="21"/>
          <w:szCs w:val="21"/>
        </w:rPr>
        <w:t>lose</w:t>
      </w:r>
      <w:r w:rsidR="00D5107E" w:rsidRPr="001D7BDE">
        <w:rPr>
          <w:rFonts w:ascii="Helvetica" w:hAnsi="Helvetica"/>
          <w:color w:val="000000"/>
          <w:sz w:val="21"/>
          <w:szCs w:val="21"/>
        </w:rPr>
        <w:t xml:space="preserve"> </w:t>
      </w:r>
      <w:r w:rsidR="00D5107E" w:rsidRPr="001D7BDE">
        <w:rPr>
          <w:rFonts w:ascii="Helvetica" w:hAnsi="Helvetica"/>
          <w:color w:val="000000"/>
          <w:sz w:val="21"/>
          <w:szCs w:val="21"/>
          <w:shd w:val="clear" w:color="auto" w:fill="FFFFFF"/>
        </w:rPr>
        <w:t>July 31, 2019</w:t>
      </w:r>
    </w:p>
    <w:p w14:paraId="45F6A363" w14:textId="77777777" w:rsidR="00000000" w:rsidRPr="00D5107E" w:rsidRDefault="00E0758F" w:rsidP="00D5107E">
      <w:pPr>
        <w:pStyle w:val="BodyText"/>
        <w:numPr>
          <w:ilvl w:val="0"/>
          <w:numId w:val="12"/>
        </w:numPr>
      </w:pPr>
      <w:r w:rsidRPr="00D5107E">
        <w:t>Exploring putting together a BoF on Monitoring Metrics.</w:t>
      </w:r>
    </w:p>
    <w:p w14:paraId="21E6F617" w14:textId="77777777" w:rsidR="00000000" w:rsidRPr="00D5107E" w:rsidRDefault="00E0758F" w:rsidP="00D5107E">
      <w:pPr>
        <w:pStyle w:val="BodyText"/>
        <w:numPr>
          <w:ilvl w:val="1"/>
          <w:numId w:val="12"/>
        </w:numPr>
      </w:pPr>
      <w:r w:rsidRPr="00D5107E">
        <w:t>Representatives from the HPC community will be encouraged to demonstrate how they use Monitoring Metrics from fabrics.</w:t>
      </w:r>
    </w:p>
    <w:p w14:paraId="347BA420" w14:textId="77777777" w:rsidR="00000000" w:rsidRPr="00D5107E" w:rsidRDefault="00E0758F" w:rsidP="00D5107E">
      <w:pPr>
        <w:pStyle w:val="BodyText"/>
        <w:numPr>
          <w:ilvl w:val="1"/>
          <w:numId w:val="12"/>
        </w:numPr>
      </w:pPr>
      <w:r w:rsidRPr="00D5107E">
        <w:t>Resu</w:t>
      </w:r>
      <w:r w:rsidRPr="00D5107E">
        <w:t>lts from different types of RDMA fabrics.</w:t>
      </w:r>
    </w:p>
    <w:p w14:paraId="2F142952" w14:textId="49F64E51" w:rsidR="00D5107E" w:rsidRDefault="00D5107E" w:rsidP="00D5107E">
      <w:pPr>
        <w:pStyle w:val="BodyText"/>
        <w:numPr>
          <w:ilvl w:val="0"/>
          <w:numId w:val="12"/>
        </w:numPr>
      </w:pPr>
      <w:r w:rsidRPr="00D5107E">
        <w:t>Looking to put an SC19 BoF Proposal Working Group together</w:t>
      </w:r>
    </w:p>
    <w:p w14:paraId="6EE1C480" w14:textId="77777777" w:rsidR="00000000" w:rsidRPr="00D5107E" w:rsidRDefault="00E0758F" w:rsidP="00D5107E">
      <w:pPr>
        <w:pStyle w:val="BodyText"/>
        <w:numPr>
          <w:ilvl w:val="1"/>
          <w:numId w:val="12"/>
        </w:numPr>
      </w:pPr>
      <w:r w:rsidRPr="00D5107E">
        <w:t>I would like to gather a few people that represent companies that develop RDMA fabrics.</w:t>
      </w:r>
    </w:p>
    <w:p w14:paraId="663C4747" w14:textId="77777777" w:rsidR="00000000" w:rsidRPr="00D5107E" w:rsidRDefault="00E0758F" w:rsidP="00D5107E">
      <w:pPr>
        <w:pStyle w:val="BodyText"/>
        <w:numPr>
          <w:ilvl w:val="1"/>
          <w:numId w:val="12"/>
        </w:numPr>
      </w:pPr>
      <w:r w:rsidRPr="00D5107E">
        <w:t>I would like to gather a few people that represent companies that administer and use HPC clusters.</w:t>
      </w:r>
    </w:p>
    <w:p w14:paraId="548DCE98" w14:textId="030C0644" w:rsidR="00D5107E" w:rsidRDefault="00E0758F" w:rsidP="00D5107E">
      <w:pPr>
        <w:pStyle w:val="BodyText"/>
        <w:numPr>
          <w:ilvl w:val="1"/>
          <w:numId w:val="12"/>
        </w:numPr>
      </w:pPr>
      <w:r w:rsidRPr="00D5107E">
        <w:t>I would like to have a multi-national element to the group.</w:t>
      </w:r>
    </w:p>
    <w:p w14:paraId="7F590D28" w14:textId="165AA90E" w:rsidR="00D5107E" w:rsidRPr="00924F24" w:rsidRDefault="00D5107E" w:rsidP="00D5107E">
      <w:pPr>
        <w:pStyle w:val="BodyText"/>
        <w:numPr>
          <w:ilvl w:val="1"/>
          <w:numId w:val="12"/>
        </w:numPr>
      </w:pPr>
      <w:r>
        <w:t>Kernel and OS developers</w:t>
      </w:r>
    </w:p>
    <w:p w14:paraId="071676E0" w14:textId="77777777" w:rsidR="00A71D15" w:rsidRDefault="00A71D15">
      <w:pPr>
        <w:pStyle w:val="BodyText"/>
        <w:ind w:left="792"/>
      </w:pPr>
      <w:bookmarkStart w:id="1" w:name="_GoBack"/>
      <w:bookmarkEnd w:id="0"/>
      <w:bookmarkEnd w:id="1"/>
    </w:p>
    <w:p w14:paraId="728676E7" w14:textId="77777777" w:rsidR="00CA1C98" w:rsidRPr="00CA1C98" w:rsidRDefault="00CA1C98" w:rsidP="00A432EF">
      <w:pPr>
        <w:outlineLvl w:val="2"/>
        <w:rPr>
          <w:rFonts w:ascii="Arial" w:eastAsia="Calibri" w:hAnsi="Arial" w:cs="Arial"/>
          <w:bCs/>
          <w:color w:val="222222"/>
          <w:sz w:val="24"/>
          <w:szCs w:val="24"/>
        </w:rPr>
      </w:pPr>
    </w:p>
    <w:sectPr w:rsidR="00CA1C98" w:rsidRPr="00CA1C98">
      <w:footerReference w:type="default" r:id="rId7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82E67" w14:textId="77777777" w:rsidR="00E0758F" w:rsidRDefault="00E0758F">
      <w:r>
        <w:separator/>
      </w:r>
    </w:p>
  </w:endnote>
  <w:endnote w:type="continuationSeparator" w:id="0">
    <w:p w14:paraId="15233139" w14:textId="77777777" w:rsidR="00E0758F" w:rsidRDefault="00E0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Angsana New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F5B20" w14:textId="77777777" w:rsidR="00A71D15" w:rsidRDefault="003168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17C23D48" wp14:editId="11B59F4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FACB332" w14:textId="77777777" w:rsidR="00A71D15" w:rsidRDefault="0031680D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1D7BDE">
                            <w:rPr>
                              <w:rStyle w:val="PageNumber"/>
                              <w:noProof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7C23D48" id="Frame1" o:spid="_x0000_s1026" style="position:absolute;margin-left:0;margin-top:.05pt;width:5.1pt;height:11.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" filled="f" stroked="f">
              <v:textbox style="mso-fit-shape-to-text:t" inset="0,0,0,0">
                <w:txbxContent>
                  <w:p w14:paraId="7FACB332" w14:textId="77777777" w:rsidR="00A71D15" w:rsidRDefault="0031680D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1D7BDE">
                      <w:rPr>
                        <w:rStyle w:val="PageNumber"/>
                        <w:noProof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8223D" w14:textId="77777777" w:rsidR="00E0758F" w:rsidRDefault="00E0758F">
      <w:r>
        <w:separator/>
      </w:r>
    </w:p>
  </w:footnote>
  <w:footnote w:type="continuationSeparator" w:id="0">
    <w:p w14:paraId="5D1975A4" w14:textId="77777777" w:rsidR="00E0758F" w:rsidRDefault="00E07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851A5"/>
    <w:multiLevelType w:val="hybridMultilevel"/>
    <w:tmpl w:val="D482309C"/>
    <w:lvl w:ilvl="0" w:tplc="372AC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B409A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8E4F9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02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686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DE8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A4C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60F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9A7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C64988"/>
    <w:multiLevelType w:val="hybridMultilevel"/>
    <w:tmpl w:val="37287C5E"/>
    <w:lvl w:ilvl="0" w:tplc="80FA9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1886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9C6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568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864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628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B0A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A20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E5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F01DD2"/>
    <w:multiLevelType w:val="multilevel"/>
    <w:tmpl w:val="9294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2802D5"/>
    <w:multiLevelType w:val="multilevel"/>
    <w:tmpl w:val="A60E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982CA4"/>
    <w:multiLevelType w:val="hybridMultilevel"/>
    <w:tmpl w:val="96CEF54E"/>
    <w:lvl w:ilvl="0" w:tplc="54B4D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81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72D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469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242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7C4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4CE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9EE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086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8CE4664"/>
    <w:multiLevelType w:val="hybridMultilevel"/>
    <w:tmpl w:val="735E43FA"/>
    <w:lvl w:ilvl="0" w:tplc="38D0C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58484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D0424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B84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0AC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2C4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A3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180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3C3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A09059D"/>
    <w:multiLevelType w:val="hybridMultilevel"/>
    <w:tmpl w:val="F6965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376CE0"/>
    <w:multiLevelType w:val="hybridMultilevel"/>
    <w:tmpl w:val="55A89C58"/>
    <w:lvl w:ilvl="0" w:tplc="635C4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6E02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4C3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F63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ECC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D65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1E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A62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346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D1C3D64"/>
    <w:multiLevelType w:val="hybridMultilevel"/>
    <w:tmpl w:val="D6204AE6"/>
    <w:lvl w:ilvl="0" w:tplc="E85A6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1EE45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E6F5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AA5E4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C3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C8B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6C7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F0F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7EB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E464B58"/>
    <w:multiLevelType w:val="hybridMultilevel"/>
    <w:tmpl w:val="8392E1BE"/>
    <w:lvl w:ilvl="0" w:tplc="B09E3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C82A3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0A8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4C3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64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D4B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8CD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9C2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44B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F735E90"/>
    <w:multiLevelType w:val="multilevel"/>
    <w:tmpl w:val="E1A655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1502C49"/>
    <w:multiLevelType w:val="hybridMultilevel"/>
    <w:tmpl w:val="55B4499A"/>
    <w:lvl w:ilvl="0" w:tplc="099C2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ECF5C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FC948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D46F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6EA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B0A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64B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5AA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2E5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69F2343"/>
    <w:multiLevelType w:val="hybridMultilevel"/>
    <w:tmpl w:val="FEB0545A"/>
    <w:lvl w:ilvl="0" w:tplc="761A4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965D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AE01C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D88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8C7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983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CF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AAF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E8A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FDE6C24"/>
    <w:multiLevelType w:val="hybridMultilevel"/>
    <w:tmpl w:val="CB60A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BA37CC"/>
    <w:multiLevelType w:val="multilevel"/>
    <w:tmpl w:val="BA3E6A18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13"/>
  </w:num>
  <w:num w:numId="5">
    <w:abstractNumId w:val="8"/>
  </w:num>
  <w:num w:numId="6">
    <w:abstractNumId w:val="11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  <w:num w:numId="11">
    <w:abstractNumId w:val="9"/>
  </w:num>
  <w:num w:numId="12">
    <w:abstractNumId w:val="6"/>
  </w:num>
  <w:num w:numId="13">
    <w:abstractNumId w:val="2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15"/>
    <w:rsid w:val="000054E8"/>
    <w:rsid w:val="00007164"/>
    <w:rsid w:val="00051572"/>
    <w:rsid w:val="00107523"/>
    <w:rsid w:val="00144B36"/>
    <w:rsid w:val="00153D06"/>
    <w:rsid w:val="001B68FF"/>
    <w:rsid w:val="001D3BF7"/>
    <w:rsid w:val="001D7BDE"/>
    <w:rsid w:val="001E1CE7"/>
    <w:rsid w:val="0026110A"/>
    <w:rsid w:val="0026190B"/>
    <w:rsid w:val="00275BC4"/>
    <w:rsid w:val="00285868"/>
    <w:rsid w:val="002D4356"/>
    <w:rsid w:val="00307EC3"/>
    <w:rsid w:val="0031680D"/>
    <w:rsid w:val="003621CE"/>
    <w:rsid w:val="00383EBB"/>
    <w:rsid w:val="003970B4"/>
    <w:rsid w:val="003A1BD8"/>
    <w:rsid w:val="004132EB"/>
    <w:rsid w:val="00420412"/>
    <w:rsid w:val="00446810"/>
    <w:rsid w:val="004C44DA"/>
    <w:rsid w:val="004F736F"/>
    <w:rsid w:val="0050321A"/>
    <w:rsid w:val="00515FD0"/>
    <w:rsid w:val="005D46D8"/>
    <w:rsid w:val="005F5516"/>
    <w:rsid w:val="00614D5F"/>
    <w:rsid w:val="00615E1C"/>
    <w:rsid w:val="00691566"/>
    <w:rsid w:val="006A17D7"/>
    <w:rsid w:val="00731C9A"/>
    <w:rsid w:val="00750B8D"/>
    <w:rsid w:val="007B1725"/>
    <w:rsid w:val="007B5BB2"/>
    <w:rsid w:val="0080561A"/>
    <w:rsid w:val="00866DE9"/>
    <w:rsid w:val="00893460"/>
    <w:rsid w:val="00924F24"/>
    <w:rsid w:val="009713AA"/>
    <w:rsid w:val="009747FE"/>
    <w:rsid w:val="00A432EF"/>
    <w:rsid w:val="00A5281E"/>
    <w:rsid w:val="00A64C3F"/>
    <w:rsid w:val="00A71D15"/>
    <w:rsid w:val="00A960A8"/>
    <w:rsid w:val="00AA19C0"/>
    <w:rsid w:val="00AA6382"/>
    <w:rsid w:val="00B11B87"/>
    <w:rsid w:val="00B3076E"/>
    <w:rsid w:val="00B624FB"/>
    <w:rsid w:val="00BA1115"/>
    <w:rsid w:val="00BC40E2"/>
    <w:rsid w:val="00C6234C"/>
    <w:rsid w:val="00C91851"/>
    <w:rsid w:val="00CA1C98"/>
    <w:rsid w:val="00D307E6"/>
    <w:rsid w:val="00D5107E"/>
    <w:rsid w:val="00DA3323"/>
    <w:rsid w:val="00DC75D7"/>
    <w:rsid w:val="00E0758F"/>
    <w:rsid w:val="00EA1A1D"/>
    <w:rsid w:val="00EC6D96"/>
    <w:rsid w:val="00EF099A"/>
    <w:rsid w:val="00F0633D"/>
    <w:rsid w:val="00F2610E"/>
    <w:rsid w:val="00F36B0E"/>
    <w:rsid w:val="00F649A7"/>
    <w:rsid w:val="00F80FA4"/>
    <w:rsid w:val="00FA16C6"/>
    <w:rsid w:val="00FE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2FE0A"/>
  <w15:docId w15:val="{AD6FF40A-8D5B-4956-935A-0E79B9B2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794F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F908B3"/>
    <w:pPr>
      <w:spacing w:beforeAutospacing="1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iPriority w:val="99"/>
    <w:unhideWhenUsed/>
    <w:rsid w:val="0080561A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0561A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28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281E"/>
    <w:rPr>
      <w:color w:val="800080" w:themeColor="followedHyperlink"/>
      <w:u w:val="single"/>
    </w:rPr>
  </w:style>
  <w:style w:type="paragraph" w:customStyle="1" w:styleId="p1">
    <w:name w:val="p1"/>
    <w:basedOn w:val="Normal"/>
    <w:rsid w:val="00C6234C"/>
    <w:rPr>
      <w:rFonts w:ascii="Helvetica" w:hAnsi="Helvetica"/>
      <w:sz w:val="18"/>
      <w:szCs w:val="18"/>
    </w:rPr>
  </w:style>
  <w:style w:type="character" w:styleId="Strong">
    <w:name w:val="Strong"/>
    <w:basedOn w:val="DefaultParagraphFont"/>
    <w:uiPriority w:val="22"/>
    <w:qFormat/>
    <w:rsid w:val="00731C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04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272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021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85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9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3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30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7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4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0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8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97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2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120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01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005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392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80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3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96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3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37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82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7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0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8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1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7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19079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620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8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942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29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245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6760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24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867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990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370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4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105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523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157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753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22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2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0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24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2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4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78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9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1490</Words>
  <Characters>8495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9966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28</cp:revision>
  <cp:lastPrinted>2017-04-19T19:22:00Z</cp:lastPrinted>
  <dcterms:created xsi:type="dcterms:W3CDTF">2019-06-13T15:37:00Z</dcterms:created>
  <dcterms:modified xsi:type="dcterms:W3CDTF">2019-06-13T18:09:00Z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